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</w:pPr>
      <w:r>
        <w:rPr>
          <w:rFonts w:ascii="Calibri" w:cs="Calibri" w:eastAsia="Calibri" w:hAnsi="Calibri"/>
          <w:b/>
          <w:bCs/>
          <w:color w:val="9A6A10"/>
          <w:sz w:val="18"/>
          <w:szCs w:val="18"/>
        </w:rPr>
        <w:t xml:space="preserve">DIPLOMADO USAER · CURSO 1 · SESIÓN 1 · HOJA DE TRABAJO</w:t>
      </w:r>
    </w:p>
    <w:p>
      <w:pPr>
        <w:spacing w:after="80"/>
      </w:pPr>
      <w:r>
        <w:rPr>
          <w:rFonts w:ascii="Georgia" w:cs="Georgia" w:eastAsia="Georgia" w:hAnsi="Georgia"/>
          <w:color w:val="6E2038"/>
          <w:sz w:val="40"/>
          <w:szCs w:val="40"/>
        </w:rPr>
        <w:t xml:space="preserve">Hoja de trabajo · Mapa de barreras · caso del 4.º A</w:t>
      </w:r>
    </w:p>
    <w:p>
      <w:pPr>
        <w:spacing w:after="160" w:line="276"/>
      </w:pPr>
      <w:r>
        <w:rPr>
          <w:rFonts w:ascii="Calibri" w:cs="Calibri" w:eastAsia="Calibri" w:hAnsi="Calibri"/>
          <w:color w:val="4A4551"/>
          <w:sz w:val="22"/>
          <w:szCs w:val="22"/>
        </w:rPr>
        <w:t xml:space="preserve">Primero mira el video completo. Después abre la app y esta hoja, nada más. Cada número es un texto: cópialo y pégalo donde dice la captura, en el mismo orden del video. Cuando llegues a la NARA, pega aquí su respuesta y compárala con la nuestra, que está completa y subrayada: los colores te dicen de dónde sale cada casilla que sigue. Al final está la hoja de evidencia ya llena, para que veas cómo debe quedar la tuya.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9A6A10"/>
          <w:sz w:val="22"/>
          <w:szCs w:val="22"/>
        </w:rPr>
        <w:t xml:space="preserve">Antes de empezar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Abre la app en una pestaña (botón de abajo) y esta hoja en otra.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Ten a la mano tu NARA de 4.º de Primaria (se abre desde la app con el botón 🤖 Abrir mi NARA). Necesitas cuenta de ChatGPT.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Al final descargas un solo archivo y lo subes en Moodle desde tu Ruta: Sesión 1 → Subir mi hoja.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6E2038"/>
          <w:sz w:val="19"/>
          <w:szCs w:val="19"/>
        </w:rPr>
        <w:t xml:space="preserve">La app: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https://neoflux.click/aula/diplomado/herramientas/docente/app01-mapa-de-barreras.html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6E2038"/>
          <w:sz w:val="19"/>
          <w:szCs w:val="19"/>
        </w:rPr>
        <w:t xml:space="preserve">Tu NARA de 4.º de Primaria (la del caso):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https://chatgpt.com/g/g-68be140b0f408191bebd2b8135ae7cdb-nara-4o-de-primaria-profe-acompanante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6E2038"/>
          <w:sz w:val="19"/>
          <w:szCs w:val="19"/>
        </w:rPr>
        <w:t xml:space="preserve">Si tienes dudas de dónde dar clic · NARA de Apoyo Académico: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https://chatgpt.com/g/g-6a694270eb0481919e76d042696e30db-nara-apoyo-academico</w:t>
      </w:r>
    </w:p>
    <w:p>
      <w:pPr>
        <w:spacing w:after="20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6E2038"/>
          <w:sz w:val="19"/>
          <w:szCs w:val="19"/>
        </w:rPr>
        <w:t xml:space="preserve">Esta misma hoja, con botones de copiar: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https://neoflux.click/aula/diplomado/taller/#pega-mapa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Antes de empezar · ¿con qué NARA trabajo?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Servicio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USAER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Grado del aula que acompañas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4º de Primaria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Con esto la app elige tu NARA: la de 4.º de Primaria, fase 4.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Alias del alumno o grupo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Ximena, del 4.º 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Nunca el nombre real.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2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Tu nombre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Antes de empezar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Mtra. Itzel (USAER)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1 · Lo que viste con tus ojos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3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observaste exactamente?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1 · Lo que viste con tus ojos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Ximena termina la hoja de matemáticas en cinco minutos con todo correcto y se levanta a caminar entre las mesas. Cuando el Mtro. Saúl le da una segunda hoja igual, la termina y vuelve a levantarse. En el recreo organizó a tres compañeros para averiguar por qué el bebedero no sirve y les repartió tareas. En el mismo grupo: Bruno arma cosas con lo que hay en la mesa mientras espera; Tadeo casi no participa en clase, pero en el recreo explica cómo su abuela cura con plantas; Renata contesta bien cuando escucha y se detiene cuando le toca leer en voz alta.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Hechos, no interpretaciones. Cuatro alumnos, no solo Ximena.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4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¿En qué momento pasa?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1 · Lo que viste con tus ojos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En matemáticas y en lectura, después de la explicación, cuando todos reciben la misma hoja.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5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del entorno puede estar causándolo?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1 · Lo que viste con tus ojos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La actividad es la misma para todo el grupo, con un solo nivel y un solo producto. No hay nada preparado para quien termina antes ni una pregunta abierta que lo rete. Lo que Ximena y Tadeo saben de fuera de la escuela no tiene dónde entrar en la clase. La consigna se da en una sola vía, escrita y por turnos de lectura en voz alta.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Aquí ya estás nombrando la barrera: misma hoja, un solo nivel, una sola vía.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2 · Pégale esto a tu NARA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9A6A10" w:val="clear"/>
        </w:rPr>
        <w:t xml:space="preserve">TOCA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Toca «Armar mi instrucción»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2 · Pégale esto a tu NARA</w:t>
      </w:r>
    </w:p>
    <w:p>
      <w:pPr>
        <w:spacing w:after="100"/>
      </w:pPr>
      <w:r>
        <w:drawing>
          <wp:inline distT="0" distB="0" distL="0" distR="0">
            <wp:extent cx="5715000" cy="942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La app junta los textos 3, 4 y 5 en el formato que la NARA entiende. No la escribes tú.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6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La instrucción que se le pega a la NARA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En tu NARA de 4.º de Primaria (botón 🤖 Abrir mi NARA), en una conversación nueva</w:t>
      </w:r>
    </w:p>
    <w:p>
      <w:pPr>
        <w:spacing w:after="100"/>
      </w:pPr>
      <w:r>
        <w:drawing>
          <wp:inline distT="0" distB="0" distL="0" distR="0">
            <wp:extent cx="5715000" cy="2114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19"/>
          <w:szCs w:val="19"/>
        </w:rPr>
        <w:t xml:space="preserve">Se pega en tu NARA de 4.º de Primaria: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9"/>
          <w:szCs w:val="19"/>
        </w:rPr>
        <w:t xml:space="preserve">https://chatgpt.com/g/g-68be140b0f408191bebd2b8135ae7cdb-nara-4o-de-primaria-profe-acompanante</w:t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Actúa como orientadora educativa de USAER. Te describo lo que observé en un alumno de 4º de Primaria, sin datos reales:
Observación: Ximena termina la hoja de matemáticas en cinco minutos con todo correcto y se levanta a caminar entre las mesas. Cuando el Mtro. Saúl le da una segunda hoja igual, la termina y vuelve a levantarse. En el recreo organizó a tres compañeros para averiguar por qué el bebedero no sirve y les repartió tareas. En el mismo grupo: Bruno arma cosas con lo que hay en la mesa mientras espera; Tadeo casi no participa en clase, pero en el recreo explica cómo su abuela cura con plantas; Renata contesta bien cuando escucha y se detiene cuando le toca leer en voz alta.
Momento en que ocurre: En matemáticas y en lectura, después de la explicación, cuando todos reciben la misma hoja.
Lo que sospecho del entorno: La actividad es la misma para todo el grupo, con un solo nivel y un solo producto. No hay nada preparado para quien termina antes ni una pregunta abierta que lo rete. Lo que Ximena y Tadeo saben de fuera de la escuela no tiene dónde entrar en la clase. La consigna se da en una sola vía, escrita y por turnos de lectura en voz alta.
Dime: (1) ¿qué barrera del entorno podría estar detrás?; (2) ¿de qué tipo es, según el Instrumento de registro de BAP?; (3) ¿qué apoyo concreto responde a esa barrera y se puede revisar después? No des diagnósticos. Describe la barrera del entorno, no una carencia del alumno.
Cierra tu respuesta con la Cadena documental: por cada fuente que hayas usado, indica nombre, versión o año, elemento consultado, función y estado documental. Distingue fuente oficial SEP, apoyo interno, web y creación propia. Si no consultaste ninguna fuente, dilo expresamente. Si conoces una referencia pero no la verificaste en esta consulta, nómbrala de todos modos y márcala como «no verificada en esta sesión».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Es la misma que arma la app. Si tu app la armó, usa «Copiar» ahí; si no, copia este Texto 6 y pégalo en tu NARA. Espera unos quince segundos.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4A4551" w:val="clear"/>
        </w:rPr>
        <w:t xml:space="preserve">LEE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Esto contestó la NARA de 4.º (textual)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No se pega en la app: se lee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color w:val="6E2038"/>
          <w:sz w:val="20"/>
          <w:szCs w:val="20"/>
        </w:rPr>
        <w:t xml:space="preserve">Primero, pega aquí la respuesta de TU NARA (para compararla con la nuestra):</w:t>
      </w:r>
    </w:p>
    <w:p>
      <w:pPr>
        <w:pBdr>
          <w:top w:val="single" w:color="BBBBBB" w:sz="8"/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pBdr>
          <w:bottom w:val="single" w:color="BBBBBB" w:sz="8"/>
          <w:left w:val="single" w:color="BBBBBB" w:sz="8"/>
          <w:right w:val="single" w:color="BBBBBB" w:sz="8"/>
        </w:pBdr>
        <w:shd w:fill="FFFFFF" w:val="clear"/>
        <w:spacing w:after="0" w:line="300"/>
      </w:pPr>
      <w:r>
        <w:rPr>
          <w:sz w:val="22"/>
          <w:szCs w:val="22"/>
        </w:rPr>
        <w:t xml:space="preserve"> </w:t>
      </w:r>
    </w:p>
    <w:p>
      <w:pPr>
        <w:spacing w:after="160"/>
      </w:pPr>
    </w:p>
    <w:p>
      <w:pPr>
        <w:spacing w:after="60" w:line="276"/>
      </w:pPr>
      <w:r>
        <w:rPr>
          <w:rFonts w:ascii="Calibri" w:cs="Calibri" w:eastAsia="Calibri" w:hAnsi="Calibri"/>
          <w:b/>
          <w:bCs/>
          <w:color w:val="6E2038"/>
          <w:sz w:val="20"/>
          <w:szCs w:val="20"/>
        </w:rPr>
        <w:t xml:space="preserve">Ahora, la nuestra: lo que contestó la NARA de 4.º, completo y tal cual. Los colores dicen a dónde va cada parte: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FFD400"/>
          <w:sz w:val="18"/>
          <w:szCs w:val="18"/>
        </w:rPr>
        <w:t xml:space="preserve">■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Amarillo → Texto 7, Tipo de barrera.   </w:t>
      </w:r>
      <w:r>
        <w:rPr>
          <w:rFonts w:ascii="Calibri" w:cs="Calibri" w:eastAsia="Calibri" w:hAnsi="Calibri"/>
          <w:b/>
          <w:bCs/>
          <w:i w:val="false"/>
          <w:iCs w:val="false"/>
          <w:color w:val="7ED957"/>
          <w:sz w:val="18"/>
          <w:szCs w:val="18"/>
        </w:rPr>
        <w:t xml:space="preserve">■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Verde → Texto 8, Apoyo que responde.   </w:t>
      </w:r>
      <w:r>
        <w:rPr>
          <w:rFonts w:ascii="Calibri" w:cs="Calibri" w:eastAsia="Calibri" w:hAnsi="Calibri"/>
          <w:b/>
          <w:bCs/>
          <w:i w:val="false"/>
          <w:iCs w:val="false"/>
          <w:color w:val="7FD8F0"/>
          <w:sz w:val="18"/>
          <w:szCs w:val="18"/>
        </w:rPr>
        <w:t xml:space="preserve">■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Azul → Textos 14 y 15, lo que la docente cambió o rechazó.   </w:t>
      </w:r>
      <w:r>
        <w:rPr>
          <w:rFonts w:ascii="Calibri" w:cs="Calibri" w:eastAsia="Calibri" w:hAnsi="Calibri"/>
          <w:b/>
          <w:bCs/>
          <w:i w:val="false"/>
          <w:iCs w:val="false"/>
          <w:color w:val="CCCCCC"/>
          <w:sz w:val="18"/>
          <w:szCs w:val="18"/>
        </w:rPr>
        <w:t xml:space="preserve">■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Gris → se lee, no se copia (cadena documental).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</w:rPr>
        <w:t xml:space="preserve">Sí hay elementos suficientes para formular una BAP del entorno, sin atribuirla a ningún alumno ni inferir diagnósticos.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1) Barrera del entorno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yellow"/>
          <w:highlightCs w:val="yellow"/>
        </w:rPr>
        <w:t xml:space="preserve">Práctica de enseñanza homogeneizada que ofrece la misma tarea, nivel de reto, producto y vía de participación a todo el grupo, sin alternativas para profundizar, incorporar saberes comunitarios ni acceder o responder de distintas maneras.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</w:rPr>
        <w:t xml:space="preserve">La relación con lo observado es concreta: cuando la tarea termina, el diseño no ofrece continuidad ni mayor desafío; los saberes que aparecen fuera del aula no tienen una vía prevista para incorporarse; y la participación en lectura depende de una consigna escrita y de leer en voz alta. El problema, por tanto, no es que Ximena "se levante", que Tadeo "participe poco" o que Renata "se detenga": esas son observaciones. La condición modificable está en cómo está organizada la enseñanza.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2) Tipo según el Instrumento de registro de BAP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yellow"/>
          <w:highlightCs w:val="yellow"/>
        </w:rPr>
        <w:t xml:space="preserve">Barrera didáctica. El Instrumento (Fases 1 a 6) clasifica en Estructurales, Normativas, Didácticas y Actitudinales; dentro de las didácticas incluye la "práctica docente homogeneizada" y la falta de diversificación de la práctica y de la planeación. No hay información que sostenga una barrera actitudinal, normativa o estructural.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3) Apoyo concreto y revisable desde USAER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green"/>
          <w:highlightCs w:val="green"/>
        </w:rPr>
        <w:t xml:space="preserve">Codiseñar con el docente una misma actividad de grupo con opciones anticipadas de profundidad, participación y expresión, en lugar de preparar más hojas iguales. Durante dos semanas, después de la explicación común: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green"/>
          <w:highlightCs w:val="green"/>
        </w:rPr>
        <w:t xml:space="preserve">• Mismo propósito curricular, tres vías: reto base; profundizar con pregunta abierta; conectar con un problema/saber de la comunidad.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green"/>
          <w:highlightCs w:val="green"/>
        </w:rPr>
        <w:t xml:space="preserve">• Quien termina elige un reto: "crea otra solución", "demuestra por qué funciona", "inventa un problema más difícil", "usa estos datos para investigar una situación del salón o la escuela".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cyan"/>
          <w:highlightCs w:val="cyan"/>
        </w:rPr>
        <w:t xml:space="preserve">• Momento breve para aportar saberes familiares o comunitarios y convertirlos en preguntas de investigación, sin convertir a nadie en "el experto".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green"/>
          <w:highlightCs w:val="green"/>
        </w:rPr>
        <w:t xml:space="preserve">• Consigna oral y escrita a la vez, con ejemplo visible; el producto puede explicarse por escrito, oralmente, con esquema o demostración.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cyan"/>
          <w:highlightCs w:val="cyan"/>
        </w:rPr>
        <w:t xml:space="preserve">Registro para revisarlo (8-10 sesiones), tres indicadores: (a) cuántos eligen y sostienen una tarea de profundización; (b) cuántos incorporan preguntas o saberes propios; (c) cuántos participan cuando hay distintas vías. Al cierre, docente y USAER comparan con la situación inicial.</w:t>
      </w:r>
    </w:p>
    <w:p>
      <w:pPr>
        <w:spacing w:after="60" w:line="280"/>
      </w:pPr>
      <w:r>
        <w:rPr>
          <w:rFonts w:ascii="Calibri" w:cs="Calibri" w:eastAsia="Calibri" w:hAnsi="Calibri"/>
          <w:sz w:val="20"/>
          <w:szCs w:val="20"/>
          <w:highlight w:val="green"/>
          <w:highlightCs w:val="green"/>
        </w:rPr>
        <w:t xml:space="preserve">Ajuste individual — No justificado con los datos disponibles: primero modificar el diseño común y registrar su efecto.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14524A"/>
          <w:sz w:val="21"/>
          <w:szCs w:val="21"/>
        </w:rPr>
        <w:t xml:space="preserve">Cadena documental (tal como la entregó la NARA)</w:t>
      </w:r>
    </w:p>
    <w:p>
      <w:pPr>
        <w:spacing w:after="30"/>
      </w:pPr>
      <w:r>
        <w:rPr>
          <w:rFonts w:ascii="Calibri" w:cs="Calibri" w:eastAsia="Calibri" w:hAnsi="Calibri"/>
          <w:color w:val="555555"/>
          <w:sz w:val="17"/>
          <w:szCs w:val="17"/>
          <w:highlight w:val="lightGray"/>
          <w:highlightCs w:val="lightGray"/>
        </w:rPr>
        <w:t xml:space="preserve">Tipo · Fuente · Versión/año · Elemento consultado · Función · Estado documental</w:t>
      </w:r>
    </w:p>
    <w:p>
      <w:pPr>
        <w:spacing w:after="30"/>
      </w:pPr>
      <w:r>
        <w:rPr>
          <w:rFonts w:ascii="Calibri" w:cs="Calibri" w:eastAsia="Calibri" w:hAnsi="Calibri"/>
          <w:color w:val="555555"/>
          <w:sz w:val="17"/>
          <w:szCs w:val="17"/>
          <w:highlight w:val="lightGray"/>
          <w:highlightCs w:val="lightGray"/>
        </w:rPr>
        <w:t xml:space="preserve">Fuente oficial SEP · Instrumento de registro de las BAP. Educación Básica. Fases 1 a 6 · SEP 2023 (corpus) · Definición de BAP; cuatro categorías; barreras didácticas · Fundamentar identificación y categoría · Estado 1: original SEP recuperado; paginación no comprobada en esta consulta</w:t>
      </w:r>
    </w:p>
    <w:p>
      <w:pPr>
        <w:spacing w:after="30"/>
      </w:pPr>
      <w:r>
        <w:rPr>
          <w:rFonts w:ascii="Calibri" w:cs="Calibri" w:eastAsia="Calibri" w:hAnsi="Calibri"/>
          <w:color w:val="555555"/>
          <w:sz w:val="17"/>
          <w:szCs w:val="17"/>
          <w:highlight w:val="lightGray"/>
          <w:highlightCs w:val="lightGray"/>
        </w:rPr>
        <w:t xml:space="preserve">Apoyo interno · Manual Rector Integral NARA CAM–USAER · v1.8 candidata, 2026 · Árbol BAP; ruta USAER; DUA/apoyo/ajuste; seguimiento · Organizar el razonamiento · Estado 2: apoyo interno; no es fundamento SEP</w:t>
      </w:r>
    </w:p>
    <w:p>
      <w:pPr>
        <w:spacing w:after="30"/>
      </w:pPr>
      <w:r>
        <w:rPr>
          <w:rFonts w:ascii="Calibri" w:cs="Calibri" w:eastAsia="Calibri" w:hAnsi="Calibri"/>
          <w:color w:val="555555"/>
          <w:sz w:val="17"/>
          <w:szCs w:val="17"/>
          <w:highlight w:val="lightGray"/>
          <w:highlightCs w:val="lightGray"/>
        </w:rPr>
        <w:t xml:space="preserve">Web · Ninguna · — · — · No fue necesaria · No consultada</w:t>
      </w:r>
    </w:p>
    <w:p>
      <w:pPr>
        <w:spacing w:after="30"/>
      </w:pPr>
      <w:r>
        <w:rPr>
          <w:rFonts w:ascii="Calibri" w:cs="Calibri" w:eastAsia="Calibri" w:hAnsi="Calibri"/>
          <w:color w:val="555555"/>
          <w:sz w:val="17"/>
          <w:szCs w:val="17"/>
          <w:highlight w:val="lightGray"/>
          <w:highlightCs w:val="lightGray"/>
        </w:rPr>
        <w:t xml:space="preserve">Creación propia NARA · Formulación de la BAP, codiseño e indicadores · 2026 · Síntesis sobre datos ficticios · Traducir a intervención revisable · No es fuente normativa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Léela con ojo crítico: describe la barrera del entorno, no una carencia del alumno; no diagnostica; trae cadena documental. De aquí salen los textos 7 y 8.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Con la respuesta de tu NARA, llena esto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7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Tipo de barrera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Con la respuesta de tu NARA, llena esto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Didácticas: métodos de enseñanza y evaluación que no responden a las necesidades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Lo dijo la NARA en su punto 2: «Barrera didáctica». Elígelo de la lista.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8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Apoyo que responde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Con la respuesta de tu NARA, llena esto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Un solo proyecto con niveles, dentro del aula: una tarjeta de reto abierto para quien termina (averiguar por qué no llega el agua al bebedero y medirlo), una vía para armar con las manos, un lugar para los saberes de la comunidad, y la consigna también en audio y en pasos para quien entra por el oído. El enriquecimiento va dentro del grupo; nadie sale del salón ni queda señalado.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Es el punto 3 de la NARA (tres vías, consigna oral y escrita, producto elegible), dicho en tu lenguaje y como un solo proyecto con niveles.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Y esto lo decides tú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9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¿En qué contexto aparece la barrera?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Aula o sala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10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tipo de enriquecimiento es?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Enriquecimiento en el aula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USAER acompaña aptitudes sobresalientes: el enriquecimiento va dentro del grupo, no aparte.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14524A" w:val="clear"/>
        </w:rPr>
        <w:t xml:space="preserve">TEXTO 11 · ELIGE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¿Es para ella sola, o le sirve a todo el grupo?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4524A"/>
          <w:sz w:val="22"/>
          <w:szCs w:val="22"/>
        </w:rPr>
        <w:t xml:space="preserve">Elige de la lista: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Le sirve a todo el grupo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Si le sirve a todos, ya no es «lo de Ximena».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12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¿Quién lo hace?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El Mtro. Saúl aplica; la Mtra. Itzel diseña la tarjeta de reto y las vías, en la reunión de planeación del lunes.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13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¿Cuándo lo revisas?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Y esto lo decides tú</w:t>
      </w:r>
    </w:p>
    <w:p>
      <w:pPr>
        <w:spacing w:after="100"/>
      </w:pPr>
      <w:r>
        <w:drawing>
          <wp:inline distT="0" distB="0" distL="0" distR="0">
            <wp:extent cx="571500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En dos semanas, al cerrar la primera fase del proyecto.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3 · Lo que decidiste tú (esto es lo que se califica)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14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le cambiaste a lo que propuso la IA?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3 · Lo que decidiste tú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La NARA propuso tres vías (reto base, pregunta abierta, saber de la comunidad) y una revisión de 8 a 10 sesiones. Le cambié dos cosas: las tres vías las junto en un solo proyecto con niveles, «El agua que no llega», para que Ximena, Bruno, Tadeo y Renata entren por su puerta sin que haya que preparar tres actividades; y la revisión la acorto a dos semanas, al cerrar la primera fase, porque el Mtro. Saúl y yo nos vemos los lunes.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15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¿Qué te propuso y no le hiciste caso? ¿Por qué?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3 · Lo que decidiste tú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Me propuso convertir los saberes de casa en «preguntas de investigación» en un momento aparte. No le hice caso: los saberes de Tadeo (plantas) y el reto de Ximena (bebedero) entran dentro del proyecto, no en un momento extra, para no señalar a nadie como «el experto». Tampoco tomé la lista de tres indicadores tal cual: solo voy a contar quién elige un reto abierto y quién trae algo de fuera de la escuela.</w:t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Es el renglón que más vale.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6E2038" w:val="clear"/>
        </w:rPr>
        <w:t xml:space="preserve">TEXTO 16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¿En qué parte de tu planeación entra esto?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3 · Lo que decidiste tú</w:t>
      </w:r>
    </w:p>
    <w:p>
      <w:pPr>
        <w:spacing w:after="100"/>
      </w:pPr>
      <w:r>
        <w:drawing>
          <wp:inline distT="0" distB="0" distL="0" distR="0">
            <wp:extent cx="5715000" cy="1152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dashed" w:color="9A6A10" w:sz="8"/>
          <w:bottom w:val="dashed" w:color="9A6A10" w:sz="8"/>
          <w:left w:val="dashed" w:color="9A6A10" w:sz="8"/>
          <w:right w:val="dashed" w:color="9A6A10" w:sz="8"/>
        </w:pBdr>
        <w:shd w:fill="FFFDF6" w:val="clear"/>
        <w:spacing w:after="120" w:before="40" w:line="290"/>
        <w:ind w:left="120" w:right="120"/>
      </w:pPr>
      <w:r>
        <w:rPr>
          <w:rFonts w:ascii="Calibri" w:cs="Calibri" w:eastAsia="Calibri" w:hAnsi="Calibri"/>
          <w:color w:val="1c1c1c"/>
          <w:sz w:val="22"/>
          <w:szCs w:val="22"/>
        </w:rPr>
        <w:t xml:space="preserve">En La Forja de Proyectos: este mapa es el interés real y la barrera con que arranca el proyecto «El agua que no llega».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Revisar, descargar y subir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9A6A10" w:val="clear"/>
        </w:rPr>
        <w:t xml:space="preserve">TOCA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Toca «Revisar lo que escribí»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Revisa antes de entregar</w:t>
      </w:r>
    </w:p>
    <w:p>
      <w:pPr>
        <w:spacing w:after="100"/>
      </w:pPr>
      <w:r>
        <w:drawing>
          <wp:inline distT="0" distB="0" distL="0" distR="0">
            <wp:extent cx="5715000" cy="942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Debe decir «Todo en orden». Si marca algo, es un aviso, no una calificación.</w:t>
      </w:r>
    </w:p>
    <w:p>
      <w:pPr>
        <w:keepNext/>
        <w:spacing w:after="60" w:before="26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shd w:fill="9A6A10" w:val="clear"/>
        </w:rPr>
        <w:t xml:space="preserve">TOCA  </w:t>
      </w:r>
      <w:r>
        <w:rPr>
          <w:rFonts w:ascii="Calibri" w:cs="Calibri" w:eastAsia="Calibri" w:hAnsi="Calibri"/>
          <w:b/>
          <w:bCs/>
          <w:color w:val="1e1e1e"/>
          <w:sz w:val="24"/>
          <w:szCs w:val="24"/>
        </w:rPr>
        <w:t xml:space="preserve">  Toca «Descargar en Word · esto es lo que subes»</w:t>
      </w:r>
    </w:p>
    <w:p>
      <w:pPr>
        <w:spacing w:after="8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Dónde: 4 · Descarga la hoja y súbela a Moodle</w:t>
      </w:r>
    </w:p>
    <w:p>
      <w:pPr>
        <w:spacing w:after="100"/>
      </w:pPr>
      <w:r>
        <w:drawing>
          <wp:inline distT="0" distB="0" distL="0" distR="0">
            <wp:extent cx="5715000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9A6A10" w:sz="10" w:space="10"/>
        </w:pBdr>
        <w:spacing w:after="140"/>
        <w:ind w:left="200"/>
      </w:pPr>
      <w:r>
        <w:rPr>
          <w:rFonts w:ascii="Calibri" w:cs="Calibri" w:eastAsia="Calibri" w:hAnsi="Calibri"/>
          <w:color w:val="4A4551"/>
          <w:sz w:val="19"/>
          <w:szCs w:val="19"/>
        </w:rPr>
        <w:t xml:space="preserve">Se guarda en tu carpeta de Descargas como USAER_S01_Apartado-2-7_Mapa-de-barreras-y-apoyos.doc. Ese archivo lo subes en Moodle: abre tu Ruta → Diplomado USAER → Curso 1 → Sesión 1 → «Subir mi hoja».</w:t>
      </w:r>
    </w:p>
    <w:p>
      <w:r>
        <w:br w:type="page"/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14524A"/>
          <w:sz w:val="24"/>
          <w:szCs w:val="24"/>
        </w:rPr>
        <w:t xml:space="preserve">Así queda tu hoja de evidencia (la nuestra, ya llena)</w:t>
      </w:r>
    </w:p>
    <w:p>
      <w:pPr>
        <w:spacing w:after="120" w:line="276"/>
      </w:pPr>
      <w:r>
        <w:rPr>
          <w:rFonts w:ascii="Calibri" w:cs="Calibri" w:eastAsia="Calibri" w:hAnsi="Calibri"/>
          <w:color w:val="4A4551"/>
          <w:sz w:val="20"/>
          <w:szCs w:val="20"/>
        </w:rPr>
        <w:t xml:space="preserve">Esto es lo que descarga la app y lo que se sube a Moodle. Compárala con la tuya: mismas casillas, mismo orden.</w:t>
      </w:r>
    </w:p>
    <w:tbl>
      <w:tblPr>
        <w:tblW w:type="dxa" w:w="9360"/>
        <w:tblBorders>
          <w:top w:val="single" w:color="E6DFE2" w:sz="4"/>
          <w:left w:val="single" w:color="E6DFE2" w:sz="4"/>
          <w:bottom w:val="single" w:color="E6DFE2" w:sz="4"/>
          <w:right w:val="single" w:color="E6DFE2" w:sz="4"/>
          <w:insideH w:val="single" w:color="E6DFE2" w:sz="4"/>
          <w:insideV w:val="single" w:color="E6DFE2" w:sz="4"/>
        </w:tblBorders>
      </w:tblPr>
      <w:tblGrid>
        <w:gridCol w:w="3200"/>
        <w:gridCol w:w="6160"/>
      </w:tblGrid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¿Qué observaste exactamente?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Ximena termina la hoja de matemáticas en cinco minutos con todo correcto y se levanta a caminar entre las mesas. Cuando el Mtro. Saúl le da una segunda hoja igual, la termina y vuelve a levantarse. En el recreo organizó a tres compañeros para averiguar por qué el bebedero no sirve y les repartió tareas. En el mismo grupo: Bruno arma cosas con lo que hay en la mesa mientras espera; Tadeo casi no participa en clase, pero en el recreo explica cómo su abuela cura con plantas; Renata contesta bien cuando escucha y se detiene cuando le toca leer en voz alta.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¿En qué momento pasa?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En matemáticas y en lectura, después de la explicación, cuando todos reciben la misma hoja.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¿Qué del entorno puede estar causándolo?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La actividad es la misma para todo el grupo, con un solo nivel y un solo producto. No hay nada preparado para quien termina antes ni una pregunta abierta que lo rete. Lo que Ximena y Tadeo saben de fuera de la escuela no tiene dónde entrar en la clase. La consigna se da en una sola vía, escrita y por turnos de lectura en voz alta.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Tipo de barrera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Didácticas: métodos de enseñanza y evaluación que no responden a las necesidades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¿En qué contexto aparece la barrera?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Aula o sala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Apoyo que responde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Un solo proyecto con niveles, dentro del aula: una tarjeta de reto abierto para quien termina (averiguar por qué no llega el agua al bebedero y medirlo), una vía para armar con las manos, un lugar para los saberes de la comunidad, y la consigna también en audio y en pasos para quien entra por el oído. El enriquecimiento va dentro del grupo; nadie sale del salón ni queda señalado.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¿Qué tipo de enriquecimiento es?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Enriquecimiento en el aula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¿Es para ella sola, o le sirve a todo el grupo?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Le sirve a todo el grupo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¿Quién lo hace?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El Mtro. Saúl aplica; la Mtra. Itzel diseña la tarjeta de reto y las vías, en la reunión de planeación del lunes.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¿Cuándo lo revisas?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En dos semanas, al cerrar la primera fase del proyecto.</w:t>
            </w:r>
          </w:p>
        </w:tc>
      </w:tr>
    </w:tbl>
    <w:p>
      <w:pPr>
        <w:spacing w:after="120"/>
      </w:pP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4524A"/>
          <w:sz w:val="22"/>
          <w:szCs w:val="22"/>
        </w:rPr>
        <w:t xml:space="preserve">Lo que decidí yo</w:t>
      </w:r>
    </w:p>
    <w:tbl>
      <w:tblPr>
        <w:tblW w:type="dxa" w:w="9360"/>
        <w:tblBorders>
          <w:top w:val="single" w:color="E6DFE2" w:sz="4"/>
          <w:left w:val="single" w:color="E6DFE2" w:sz="4"/>
          <w:bottom w:val="single" w:color="E6DFE2" w:sz="4"/>
          <w:right w:val="single" w:color="E6DFE2" w:sz="4"/>
          <w:insideH w:val="single" w:color="E6DFE2" w:sz="4"/>
          <w:insideV w:val="single" w:color="E6DFE2" w:sz="4"/>
        </w:tblBorders>
      </w:tblPr>
      <w:tblGrid>
        <w:gridCol w:w="3200"/>
        <w:gridCol w:w="6160"/>
      </w:tblGrid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¿Qué le cambiaste a lo que propuso la IA?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La NARA propuso tres vías (reto base, pregunta abierta, saber de la comunidad) y una revisión de 8 a 10 sesiones. Le cambié dos cosas: las tres vías las junto en un solo proyecto con niveles, «El agua que no llega», para que Ximena, Bruno, Tadeo y Renata entren por su puerta sin que haya que preparar tres actividades; y la revisión la acorto a dos semanas, al cerrar la primera fase, porque el Mtro. Saúl y yo nos vemos los lunes.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¿Qué te propuso y no le hiciste caso? ¿Por qué?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Me propuso convertir los saberes de casa en «preguntas de investigación» en un momento aparte. No le hice caso: los saberes de Tadeo (plantas) y el reto de Ximena (bebedero) entran dentro del proyecto, no en un momento extra, para no señalar a nadie como «el experto». Tampoco tomé la lista de tres indicadores tal cual: solo voy a contar quién elige un reto abierto y quién trae algo de fuera de la escuela.</w:t>
            </w:r>
          </w:p>
        </w:tc>
      </w:tr>
      <w:tr>
        <w:trPr>
          <w:tblHeader w:val="false"/>
        </w:trPr>
        <w:tc>
          <w:tcPr>
            <w:tcW w:type="dxa" w:w="100"/>
            <w:shd w:fill="F7F5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¿En qué parte de tu planeación entra esto?</w:t>
            </w:r>
          </w:p>
        </w:tc>
        <w:tc>
          <w:tcPr>
            <w:tcW w:type="dxa" w:w="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En La Forja de Proyectos: este mapa es el interés real y la barrera con que arranca el proyecto «El agua que no llega».</w:t>
            </w:r>
          </w:p>
        </w:tc>
      </w:tr>
    </w:tbl>
    <w:p>
      <w:pPr>
        <w:spacing w:after="200"/>
      </w:pPr>
    </w:p>
    <w:p>
      <w:pPr>
        <w:spacing w:after="80" w:line="276"/>
      </w:pPr>
      <w:r>
        <w:rPr>
          <w:rFonts w:ascii="Calibri" w:cs="Calibri" w:eastAsia="Calibri" w:hAnsi="Calibri"/>
          <w:color w:val="14524A"/>
          <w:sz w:val="21"/>
          <w:szCs w:val="21"/>
        </w:rPr>
        <w:t xml:space="preserve">Al final tienes un solo archivo en Descargas. Lo subes desde tu Ruta: Diplomado USAER → Curso 1 → Sesión 1 → «Subir mi hoja». Y en el foro, un comentario: qué te propuso la IA y no le hiciste caso.</w:t>
      </w:r>
    </w:p>
    <w:p>
      <w:pPr>
        <w:spacing w:after="140" w:line="276"/>
      </w:pPr>
      <w:r>
        <w:rPr>
          <w:rFonts w:ascii="Calibri" w:cs="Calibri" w:eastAsia="Calibri" w:hAnsi="Calibri"/>
          <w:color w:val="4A4551"/>
          <w:sz w:val="18"/>
          <w:szCs w:val="18"/>
        </w:rPr>
        <w:t xml:space="preserve">Sin datos de menores · la detección de aptitudes es señal, no diagnóstico · la IA propone, la docente verifica y decide.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b9b9b"/>
        <w:sz w:val="16"/>
        <w:szCs w:val="16"/>
      </w:rPr>
      <w:t xml:space="preserve">Hoja de trabajo · Mapa de barreras · caso 4.º A · Diplomado USAER ·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25e1b2d77cbe0469af54356b4463f5a5be9b7f6.jpg"/><Relationship Id="rId9" Type="http://schemas.openxmlformats.org/officeDocument/2006/relationships/image" Target="media/9ade6c9b8eccc0e96393a388185a31d4bbabcfb2.jpg"/><Relationship Id="rId10" Type="http://schemas.openxmlformats.org/officeDocument/2006/relationships/image" Target="media/90e03a17adf7ade0ed6ac86720272d9e5208898f.jpg"/><Relationship Id="rId11" Type="http://schemas.openxmlformats.org/officeDocument/2006/relationships/image" Target="media/a76100ecbea7aed3c36654757e0b228f169a9eb6.jpg"/><Relationship Id="rId12" Type="http://schemas.openxmlformats.org/officeDocument/2006/relationships/image" Target="media/902b4e0455552685c1a2e11d86d5016b45198d1b.jpg"/><Relationship Id="rId13" Type="http://schemas.openxmlformats.org/officeDocument/2006/relationships/image" Target="media/e53417e8410430ef90ec077a26a3b31e7f487e8f.jpg"/><Relationship Id="rId14" Type="http://schemas.openxmlformats.org/officeDocument/2006/relationships/image" Target="media/08d51d7471dd5b6e955f6643de8de9f56911e28a.jpg"/><Relationship Id="rId15" Type="http://schemas.openxmlformats.org/officeDocument/2006/relationships/image" Target="media/3a9ba5828ebe8ef1cda574f94818855658af0a61.jpg"/><Relationship Id="rId16" Type="http://schemas.openxmlformats.org/officeDocument/2006/relationships/image" Target="media/e512e321879c0abd3796fd944965c5fba58a65c7.jpg"/><Relationship Id="rId17" Type="http://schemas.openxmlformats.org/officeDocument/2006/relationships/image" Target="media/33f7d79ab091d8461886468ef4d8e04f96ebd601.jpg"/><Relationship Id="rId18" Type="http://schemas.openxmlformats.org/officeDocument/2006/relationships/image" Target="media/d376588182eeecdcd204a74eee2535ef5a763ab9.jpg"/><Relationship Id="rId19" Type="http://schemas.openxmlformats.org/officeDocument/2006/relationships/image" Target="media/9027297a96604c121abac85568105030df51d77d.jpg"/><Relationship Id="rId20" Type="http://schemas.openxmlformats.org/officeDocument/2006/relationships/image" Target="media/0145640db5a133a4997d92cb2e8444c9340ac92a.jpg"/><Relationship Id="rId21" Type="http://schemas.openxmlformats.org/officeDocument/2006/relationships/image" Target="media/4a6013931161de2c4d839d1a367d2dc36465d5de.jpg"/><Relationship Id="rId22" Type="http://schemas.openxmlformats.org/officeDocument/2006/relationships/image" Target="media/922caba713cd50e95bba9637b39e15a1df15cbfa.jpg"/><Relationship Id="rId23" Type="http://schemas.openxmlformats.org/officeDocument/2006/relationships/image" Target="media/3063732987af82fad7aeb94b0af13bde13f4c963.jpg"/><Relationship Id="rId24" Type="http://schemas.openxmlformats.org/officeDocument/2006/relationships/image" Target="media/ba88f931f91e94b2069e0453f840be47deaacdd6.jpg"/><Relationship Id="rId25" Type="http://schemas.openxmlformats.org/officeDocument/2006/relationships/image" Target="media/0d9d1abaf62920c12ff5e1f77a48209c7ba99160.jpg"/><Relationship Id="rId26" Type="http://schemas.openxmlformats.org/officeDocument/2006/relationships/image" Target="media/4c32e5c75c536875e0432b93a4c7ee28915c8e48.jpg"/><Relationship Id="rId27" Type="http://schemas.openxmlformats.org/officeDocument/2006/relationships/image" Target="media/4a0b5439ac6e220fee7b9c148b200f79def20ef0.jpg"/><Relationship Id="rId28" Type="http://schemas.openxmlformats.org/officeDocument/2006/relationships/image" Target="media/ae87af111c8c13f28782cc5d3283bc2a019c5785.jp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· Mapa de barreras</dc:title>
  <dc:creator>Citlalic Villegas Luna</dc:creator>
  <cp:lastModifiedBy>Un-named</cp:lastModifiedBy>
  <cp:revision>1</cp:revision>
  <dcterms:created xsi:type="dcterms:W3CDTF">2026-09-04T01:50:05.054Z</dcterms:created>
  <dcterms:modified xsi:type="dcterms:W3CDTF">2026-09-04T01:50:05.060Z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