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</w:pPr>
      <w:r>
        <w:rPr>
          <w:rFonts w:ascii="Calibri" w:cs="Calibri" w:eastAsia="Calibri" w:hAnsi="Calibri"/>
          <w:b/>
          <w:bCs/>
          <w:color w:val="9A6A10"/>
          <w:sz w:val="18"/>
          <w:szCs w:val="18"/>
        </w:rPr>
        <w:t xml:space="preserve">DIPLOMADO USAER · CURSO 1 · SESIÓN 1 · COPIAR Y PEGAR</w:t>
      </w:r>
    </w:p>
    <w:p>
      <w:pPr>
        <w:spacing w:after="80"/>
      </w:pPr>
      <w:r>
        <w:rPr>
          <w:rFonts w:ascii="Georgia" w:cs="Georgia" w:eastAsia="Georgia" w:hAnsi="Georgia"/>
          <w:color w:val="6E2038"/>
          <w:sz w:val="40"/>
          <w:szCs w:val="40"/>
        </w:rPr>
        <w:t xml:space="preserve">Pega conmigo · Mapa de barreras</w:t>
      </w:r>
    </w:p>
    <w:p>
      <w:pPr>
        <w:spacing w:after="160" w:line="276"/>
      </w:pPr>
      <w:r>
        <w:rPr>
          <w:rFonts w:ascii="Calibri" w:cs="Calibri" w:eastAsia="Calibri" w:hAnsi="Calibri"/>
          <w:color w:val="4A4551"/>
          <w:sz w:val="22"/>
          <w:szCs w:val="22"/>
        </w:rPr>
        <w:t xml:space="preserve">Si no hiciste la Sesión 1, con esta hoja la haces en quince minutos. Cada número es un texto: cópialo y pégalo donde dice la captura. Es el mismo orden que el video y el mismo caso del curso (4.º A, aptitudes sobresalientes). No hay que escribir nada.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9A6A10"/>
          <w:sz w:val="22"/>
          <w:szCs w:val="22"/>
        </w:rPr>
        <w:t xml:space="preserve">Antes de empezar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Abre la app en una pestaña (botón de abajo) y esta hoja en otra.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Ten a la mano tu NARA de 4.º de Primaria (se abre desde la app con el botón 🤖 Abrir mi NARA). Necesitas cuenta de ChatGPT.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Al final descargas un solo archivo y lo subes en Moodle desde tu Ruta: Sesión 1 → Subir mi hoja.</w:t>
      </w:r>
    </w:p>
    <w:p>
      <w:pPr>
        <w:spacing w:after="6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6E2038"/>
          <w:sz w:val="19"/>
          <w:szCs w:val="19"/>
        </w:rPr>
        <w:t xml:space="preserve">La app: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9"/>
          <w:szCs w:val="19"/>
        </w:rPr>
        <w:t xml:space="preserve">https://neoflux.click/aula/diplomado/herramientas/docente/app01-mapa-de-barreras.html</w:t>
      </w:r>
    </w:p>
    <w:p>
      <w:pPr>
        <w:spacing w:after="20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6E2038"/>
          <w:sz w:val="19"/>
          <w:szCs w:val="19"/>
        </w:rPr>
        <w:t xml:space="preserve">Esta misma hoja, con botones de copiar: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9"/>
          <w:szCs w:val="19"/>
        </w:rPr>
        <w:t xml:space="preserve">https://neoflux.click/aula/diplomado/taller/#pega-mapa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4524A"/>
          <w:sz w:val="24"/>
          <w:szCs w:val="24"/>
        </w:rPr>
        <w:t xml:space="preserve">Antes de empezar · ¿con qué NARA trabajo?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14524A" w:val="clear"/>
        </w:rPr>
        <w:t xml:space="preserve">ELIGE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Servicio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Antes de empezar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4524A"/>
          <w:sz w:val="22"/>
          <w:szCs w:val="22"/>
        </w:rPr>
        <w:t xml:space="preserve">Elige de la lista: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USAER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14524A" w:val="clear"/>
        </w:rPr>
        <w:t xml:space="preserve">ELIGE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Grado del aula que acompañas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Antes de empezar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4524A"/>
          <w:sz w:val="22"/>
          <w:szCs w:val="22"/>
        </w:rPr>
        <w:t xml:space="preserve">Elige de la lista: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4º de Primaria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Con esto la app elige tu NARA: la de 4.º de Primaria, fase 4.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1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Alias del alumno o grupo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Antes de empezar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Ximena, del 4.º A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Nunca el nombre real.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2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Tu nombre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Antes de empezar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Mtra. Itzel (USAER)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4524A"/>
          <w:sz w:val="24"/>
          <w:szCs w:val="24"/>
        </w:rPr>
        <w:t xml:space="preserve">1 · Lo que viste con tus ojos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3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¿Qué observaste exactamente?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1 · Lo que viste con tus ojos</w:t>
      </w:r>
    </w:p>
    <w:p>
      <w:pPr>
        <w:spacing w:after="100"/>
      </w:pPr>
      <w:r>
        <w:drawing>
          <wp:inline distT="0" distB="0" distL="0" distR="0">
            <wp:extent cx="5715000" cy="1152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Ximena termina la hoja de matemáticas en cinco minutos con todo correcto y se levanta a caminar entre las mesas. Cuando el Mtro. Saúl le da una segunda hoja igual, la termina y vuelve a levantarse. En el recreo organizó a tres compañeros para averiguar por qué el bebedero no sirve y les repartió tareas. En el mismo grupo: Bruno arma cosas con lo que hay en la mesa mientras espera; Tadeo casi no participa en clase, pero en el recreo explica cómo su abuela cura con plantas; Renata contesta bien cuando escucha y se detiene cuando le toca leer en voz alta.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Hechos, no interpretaciones. Cuatro alumnos, no solo Ximena.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4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¿En qué momento pasa?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1 · Lo que viste con tus ojos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En matemáticas y en lectura, después de la explicación, cuando todos reciben la misma hoja.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5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¿Qué del entorno puede estar causándolo?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1 · Lo que viste con tus ojos</w:t>
      </w:r>
    </w:p>
    <w:p>
      <w:pPr>
        <w:spacing w:after="100"/>
      </w:pPr>
      <w:r>
        <w:drawing>
          <wp:inline distT="0" distB="0" distL="0" distR="0">
            <wp:extent cx="5715000" cy="1152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La actividad es la misma para todo el grupo, con un solo nivel y un solo producto. No hay nada preparado para quien termina antes ni una pregunta abierta que lo rete. Lo que Ximena y Tadeo saben de fuera de la escuela no tiene dónde entrar en la clase. La consigna se da en una sola vía, escrita y por turnos de lectura en voz alta.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Aquí ya estás nombrando la barrera: misma hoja, un solo nivel, una sola vía.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4524A"/>
          <w:sz w:val="24"/>
          <w:szCs w:val="24"/>
        </w:rPr>
        <w:t xml:space="preserve">2 · Pégale esto a tu NARA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9A6A10" w:val="clear"/>
        </w:rPr>
        <w:t xml:space="preserve">TOCA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Toca «Armar mi instrucción»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2 · Pégale esto a tu NARA</w:t>
      </w:r>
    </w:p>
    <w:p>
      <w:pPr>
        <w:spacing w:after="100"/>
      </w:pPr>
      <w:r>
        <w:drawing>
          <wp:inline distT="0" distB="0" distL="0" distR="0">
            <wp:extent cx="5715000" cy="942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La app junta los textos 3, 4 y 5 en el formato que la NARA entiende. No la escribes tú.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6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La instrucción que se le pega a la NARA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En tu NARA de 4.º de Primaria (botón 🤖 Abrir mi NARA), en una conversación nueva</w:t>
      </w:r>
    </w:p>
    <w:p>
      <w:pPr>
        <w:spacing w:after="100"/>
      </w:pPr>
      <w:r>
        <w:drawing>
          <wp:inline distT="0" distB="0" distL="0" distR="0">
            <wp:extent cx="5715000" cy="2114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Actúa como orientadora educativa de USAER. Te describo lo que observé en un alumno de 4º de Primaria, sin datos reales:
Observación: Ximena termina la hoja de matemáticas en cinco minutos con todo correcto y se levanta a caminar entre las mesas. Cuando el Mtro. Saúl le da una segunda hoja igual, la termina y vuelve a levantarse. En el recreo organizó a tres compañeros para averiguar por qué el bebedero no sirve y les repartió tareas. En el mismo grupo: Bruno arma cosas con lo que hay en la mesa mientras espera; Tadeo casi no participa en clase, pero en el recreo explica cómo su abuela cura con plantas; Renata contesta bien cuando escucha y se detiene cuando le toca leer en voz alta.
Momento en que ocurre: En matemáticas y en lectura, después de la explicación, cuando todos reciben la misma hoja.
Lo que sospecho del entorno: La actividad es la misma para todo el grupo, con un solo nivel y un solo producto. No hay nada preparado para quien termina antes ni una pregunta abierta que lo rete. Lo que Ximena y Tadeo saben de fuera de la escuela no tiene dónde entrar en la clase. La consigna se da en una sola vía, escrita y por turnos de lectura en voz alta.
Dime: (1) ¿qué barrera del entorno podría estar detrás?; (2) ¿de qué tipo es, según el Instrumento de registro de BAP?; (3) ¿qué apoyo concreto responde a esa barrera y se puede revisar después? No des diagnósticos. Describe la barrera del entorno, no una carencia del alumno.
Cierra tu respuesta con la Cadena documental: por cada fuente que hayas usado, indica nombre, versión o año, elemento consultado, función y estado documental. Distingue fuente oficial SEP, apoyo interno, web y creación propia. Si no consultaste ninguna fuente, dilo expresamente. Si conoces una referencia pero no la verificaste en esta consulta, nómbrala de todos modos y márcala como «no verificada en esta sesión».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Es la misma que arma la app. Si tu app la armó, usa «Copiar» ahí; si no, copia este Texto 6 y pégalo en tu NARA. Espera unos quince segundos.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4A4551" w:val="clear"/>
        </w:rPr>
        <w:t xml:space="preserve">LEE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Esto contestó la NARA de 4.º (textual)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No se pega en la app: se lee</w:t>
      </w:r>
    </w:p>
    <w:p>
      <w:pPr>
        <w:spacing w:after="50" w:line="27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Sí hay elementos suficientes para formular una BAP del entorno, sin atribuirla a ningún alumno ni inferir diagnósticos.</w:t>
      </w:r>
    </w:p>
    <w:p>
      <w:pPr>
        <w:spacing w:after="40" w:line="276"/>
      </w:pPr>
      <w:r>
        <w:rPr>
          <w:rFonts w:ascii="Calibri" w:cs="Calibri" w:eastAsia="Calibri" w:hAnsi="Calibri"/>
          <w:b/>
          <w:bCs/>
          <w:color w:val="14524A"/>
          <w:sz w:val="21"/>
          <w:szCs w:val="21"/>
        </w:rPr>
        <w:t xml:space="preserve">1) Barrera del entorno</w:t>
      </w:r>
    </w:p>
    <w:p>
      <w:pPr>
        <w:spacing w:after="50" w:line="27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Práctica de enseñanza homogeneizada que ofrece la misma tarea, nivel de reto, producto y vía de participación a todo el grupo, sin alternativas para profundizar, incorporar saberes comunitarios ni acceder o responder de distintas maneras.</w:t>
      </w:r>
    </w:p>
    <w:p>
      <w:pPr>
        <w:spacing w:after="50" w:line="27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La relación con lo observado es concreta: cuando la tarea termina, el diseño no ofrece continuidad ni mayor desafío; los saberes que aparecen fuera del aula no tienen una vía prevista para incorporarse; y la participación en lectura depende de una consigna escrita y de leer en voz alta. El problema, por tanto, no es que Ximena "se levante", que Tadeo "participe poco" o que Renata "se detenga": esas son observaciones. La condición modificable está en cómo está organizada la enseñanza.</w:t>
      </w:r>
    </w:p>
    <w:p>
      <w:pPr>
        <w:spacing w:after="40" w:line="276"/>
      </w:pPr>
      <w:r>
        <w:rPr>
          <w:rFonts w:ascii="Calibri" w:cs="Calibri" w:eastAsia="Calibri" w:hAnsi="Calibri"/>
          <w:b/>
          <w:bCs/>
          <w:color w:val="14524A"/>
          <w:sz w:val="21"/>
          <w:szCs w:val="21"/>
        </w:rPr>
        <w:t xml:space="preserve">2) Tipo según el Instrumento de registro de BAP</w:t>
      </w:r>
    </w:p>
    <w:p>
      <w:pPr>
        <w:spacing w:after="50" w:line="27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Barrera didáctica. El Instrumento (Fases 1 a 6) clasifica en Estructurales, Normativas, Didácticas y Actitudinales; dentro de las didácticas incluye la "práctica docente homogeneizada" y la falta de diversificación de la práctica y de la planeación. No hay información que sostenga una barrera actitudinal, normativa o estructural.</w:t>
      </w:r>
    </w:p>
    <w:p>
      <w:pPr>
        <w:spacing w:after="40" w:line="276"/>
      </w:pPr>
      <w:r>
        <w:rPr>
          <w:rFonts w:ascii="Calibri" w:cs="Calibri" w:eastAsia="Calibri" w:hAnsi="Calibri"/>
          <w:b/>
          <w:bCs/>
          <w:color w:val="14524A"/>
          <w:sz w:val="21"/>
          <w:szCs w:val="21"/>
        </w:rPr>
        <w:t xml:space="preserve">3) Apoyo concreto y revisable desde USAER</w:t>
      </w:r>
    </w:p>
    <w:p>
      <w:pPr>
        <w:spacing w:after="50" w:line="27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Codiseñar con el docente una misma actividad de grupo con opciones anticipadas de profundidad, participación y expresión, en lugar de preparar más hojas iguales. Durante dos semanas, después de la explicación común:</w:t>
      </w:r>
    </w:p>
    <w:p>
      <w:pPr>
        <w:spacing w:after="50" w:line="27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• Mismo propósito curricular, tres vías: reto base; profundizar con pregunta abierta; conectar con un problema/saber de la comunidad.</w:t>
      </w:r>
    </w:p>
    <w:p>
      <w:pPr>
        <w:spacing w:after="50" w:line="27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• Quien termina elige un reto: "crea otra solución", "demuestra por qué funciona", "inventa un problema más difícil", "usa estos datos para investigar una situación del salón o la escuela".</w:t>
      </w:r>
    </w:p>
    <w:p>
      <w:pPr>
        <w:spacing w:after="50" w:line="27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• Momento breve para aportar saberes familiares o comunitarios y convertirlos en preguntas de investigación, sin convertir a nadie en "el experto".</w:t>
      </w:r>
    </w:p>
    <w:p>
      <w:pPr>
        <w:spacing w:after="50" w:line="27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• Consigna oral y escrita a la vez, con ejemplo visible; el producto puede explicarse por escrito, oralmente, con esquema o demostración.</w:t>
      </w:r>
    </w:p>
    <w:p>
      <w:pPr>
        <w:spacing w:after="50" w:line="27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Registro para revisarlo (8-10 sesiones), tres indicadores: (a) cuántos eligen y sostienen una tarea de profundización; (b) cuántos incorporan preguntas o saberes propios; (c) cuántos participan cuando hay distintas vías. Al cierre, docente y USAER comparan con la situación inicial.</w:t>
      </w:r>
    </w:p>
    <w:p>
      <w:pPr>
        <w:spacing w:after="50" w:line="27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Ajuste individual — No justificado con los datos disponibles: primero modificar el diseño común y registrar su efecto.</w:t>
      </w:r>
    </w:p>
    <w:p>
      <w:pPr>
        <w:spacing w:after="40" w:line="276"/>
      </w:pPr>
      <w:r>
        <w:rPr>
          <w:rFonts w:ascii="Calibri" w:cs="Calibri" w:eastAsia="Calibri" w:hAnsi="Calibri"/>
          <w:b/>
          <w:bCs/>
          <w:color w:val="14524A"/>
          <w:sz w:val="21"/>
          <w:szCs w:val="21"/>
        </w:rPr>
        <w:t xml:space="preserve">Cadena documental (tal como la entregó la NARA)</w:t>
      </w:r>
    </w:p>
    <w:p>
      <w:pPr>
        <w:spacing w:after="30" w:line="276"/>
      </w:pPr>
      <w:r>
        <w:rPr>
          <w:rFonts w:ascii="Calibri" w:cs="Calibri" w:eastAsia="Calibri" w:hAnsi="Calibri"/>
          <w:color w:val="4A4551"/>
          <w:sz w:val="17"/>
          <w:szCs w:val="17"/>
        </w:rPr>
        <w:t xml:space="preserve">Tipo · Fuente · Versión/año · Elemento consultado · Función · Estado documental</w:t>
      </w:r>
    </w:p>
    <w:p>
      <w:pPr>
        <w:spacing w:after="30" w:line="276"/>
      </w:pPr>
      <w:r>
        <w:rPr>
          <w:rFonts w:ascii="Calibri" w:cs="Calibri" w:eastAsia="Calibri" w:hAnsi="Calibri"/>
          <w:color w:val="4A4551"/>
          <w:sz w:val="17"/>
          <w:szCs w:val="17"/>
        </w:rPr>
        <w:t xml:space="preserve">Fuente oficial SEP · Instrumento de registro de las BAP. Educación Básica. Fases 1 a 6 · SEP 2023 (corpus) · Definición de BAP; cuatro categorías; barreras didácticas · Fundamentar identificación y categoría · Estado 1: original SEP recuperado; paginación no comprobada en esta consulta</w:t>
      </w:r>
    </w:p>
    <w:p>
      <w:pPr>
        <w:spacing w:after="30" w:line="276"/>
      </w:pPr>
      <w:r>
        <w:rPr>
          <w:rFonts w:ascii="Calibri" w:cs="Calibri" w:eastAsia="Calibri" w:hAnsi="Calibri"/>
          <w:color w:val="4A4551"/>
          <w:sz w:val="17"/>
          <w:szCs w:val="17"/>
        </w:rPr>
        <w:t xml:space="preserve">Apoyo interno · Manual Rector Integral NARA CAM–USAER · v1.8 candidata, 2026 · Árbol BAP; ruta USAER; DUA/apoyo/ajuste; seguimiento · Organizar el razonamiento · Estado 2: apoyo interno; no es fundamento SEP</w:t>
      </w:r>
    </w:p>
    <w:p>
      <w:pPr>
        <w:spacing w:after="30" w:line="276"/>
      </w:pPr>
      <w:r>
        <w:rPr>
          <w:rFonts w:ascii="Calibri" w:cs="Calibri" w:eastAsia="Calibri" w:hAnsi="Calibri"/>
          <w:color w:val="4A4551"/>
          <w:sz w:val="17"/>
          <w:szCs w:val="17"/>
        </w:rPr>
        <w:t xml:space="preserve">Web · Ninguna · — · — · No fue necesaria · No consultada</w:t>
      </w:r>
    </w:p>
    <w:p>
      <w:pPr>
        <w:spacing w:after="30" w:line="276"/>
      </w:pPr>
      <w:r>
        <w:rPr>
          <w:rFonts w:ascii="Calibri" w:cs="Calibri" w:eastAsia="Calibri" w:hAnsi="Calibri"/>
          <w:color w:val="4A4551"/>
          <w:sz w:val="17"/>
          <w:szCs w:val="17"/>
        </w:rPr>
        <w:t xml:space="preserve">Creación propia NARA · Formulación de la BAP, codiseño e indicadores · 2026 · Síntesis sobre datos ficticios · Traducir a intervención revisable · No es fuente normativa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Léela con ojo crítico: describe la barrera del entorno, no una carencia del alumno; no diagnostica; trae cadena documental. De aquí salen los textos 7 y 8.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4524A"/>
          <w:sz w:val="24"/>
          <w:szCs w:val="24"/>
        </w:rPr>
        <w:t xml:space="preserve">Con la respuesta de tu NARA, llena esto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14524A" w:val="clear"/>
        </w:rPr>
        <w:t xml:space="preserve">TEXTO 7 · ELIGE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Tipo de barrera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Con la respuesta de tu NARA, llena esto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4524A"/>
          <w:sz w:val="22"/>
          <w:szCs w:val="22"/>
        </w:rPr>
        <w:t xml:space="preserve">Elige de la lista: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Didácticas: métodos de enseñanza y evaluación que no responden a las necesidades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Lo dijo la NARA en su punto 2: «Barrera didáctica». Elígelo de la lista.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8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Apoyo que responde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Con la respuesta de tu NARA, llena esto</w:t>
      </w:r>
    </w:p>
    <w:p>
      <w:pPr>
        <w:spacing w:after="100"/>
      </w:pPr>
      <w:r>
        <w:drawing>
          <wp:inline distT="0" distB="0" distL="0" distR="0">
            <wp:extent cx="5715000" cy="1152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Un solo proyecto con niveles, dentro del aula: una tarjeta de reto abierto para quien termina (averiguar por qué no llega el agua al bebedero y medirlo), una vía para armar con las manos, un lugar para los saberes de la comunidad, y la consigna también en audio y en pasos para quien entra por el oído. El enriquecimiento va dentro del grupo; nadie sale del salón ni queda señalado.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Es el punto 3 de la NARA (tres vías, consigna oral y escrita, producto elegible), dicho en tu lenguaje y como un solo proyecto con niveles.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4524A"/>
          <w:sz w:val="24"/>
          <w:szCs w:val="24"/>
        </w:rPr>
        <w:t xml:space="preserve">Y esto lo decides tú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14524A" w:val="clear"/>
        </w:rPr>
        <w:t xml:space="preserve">TEXTO 9 · ELIGE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¿En qué contexto aparece la barrera?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Y esto lo decides tú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4524A"/>
          <w:sz w:val="22"/>
          <w:szCs w:val="22"/>
        </w:rPr>
        <w:t xml:space="preserve">Elige de la lista: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Aula o sala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14524A" w:val="clear"/>
        </w:rPr>
        <w:t xml:space="preserve">TEXTO 10 · ELIGE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¿Qué tipo de enriquecimiento es?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Y esto lo decides tú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4524A"/>
          <w:sz w:val="22"/>
          <w:szCs w:val="22"/>
        </w:rPr>
        <w:t xml:space="preserve">Elige de la lista: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Enriquecimiento en el aula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USAER acompaña aptitudes sobresalientes: el enriquecimiento va dentro del grupo, no aparte.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14524A" w:val="clear"/>
        </w:rPr>
        <w:t xml:space="preserve">TEXTO 11 · ELIGE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¿Es para ella sola, o le sirve a todo el grupo?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Y esto lo decides tú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4524A"/>
          <w:sz w:val="22"/>
          <w:szCs w:val="22"/>
        </w:rPr>
        <w:t xml:space="preserve">Elige de la lista: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Le sirve a todo el grupo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Si le sirve a todos, ya no es «lo de Ximena».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12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¿Quién lo hace?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Y esto lo decides tú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El Mtro. Saúl aplica; la Mtra. Itzel diseña la tarjeta de reto y las vías, en la reunión de planeación del lunes.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13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¿Cuándo lo revisas?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Y esto lo decides tú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En dos semanas, al cerrar la primera fase del proyecto.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4524A"/>
          <w:sz w:val="24"/>
          <w:szCs w:val="24"/>
        </w:rPr>
        <w:t xml:space="preserve">3 · Lo que decidiste tú (esto es lo que se califica)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14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¿Qué le cambiaste a lo que propuso la IA?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3 · Lo que decidiste tú</w:t>
      </w:r>
    </w:p>
    <w:p>
      <w:pPr>
        <w:spacing w:after="100"/>
      </w:pPr>
      <w:r>
        <w:drawing>
          <wp:inline distT="0" distB="0" distL="0" distR="0">
            <wp:extent cx="5715000" cy="1152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La NARA propuso tres vías (reto base, pregunta abierta, saber de la comunidad) y una revisión de 8 a 10 sesiones. Le cambié dos cosas: las tres vías las junto en un solo proyecto con niveles, «El agua que no llega», para que Ximena, Bruno, Tadeo y Renata entren por su puerta sin que haya que preparar tres actividades; y la revisión la acorto a dos semanas, al cerrar la primera fase, porque el Mtro. Saúl y yo nos vemos los lunes.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15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¿Qué te propuso y no le hiciste caso? ¿Por qué?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3 · Lo que decidiste tú</w:t>
      </w:r>
    </w:p>
    <w:p>
      <w:pPr>
        <w:spacing w:after="100"/>
      </w:pPr>
      <w:r>
        <w:drawing>
          <wp:inline distT="0" distB="0" distL="0" distR="0">
            <wp:extent cx="5715000" cy="1152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Me propuso convertir los saberes de casa en «preguntas de investigación» en un momento aparte. No le hice caso: los saberes de Tadeo (plantas) y el reto de Ximena (bebedero) entran dentro del proyecto, no en un momento extra, para no señalar a nadie como «el experto». Tampoco tomé la lista de tres indicadores tal cual: solo voy a contar quién elige un reto abierto y quién trae algo de fuera de la escuela.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Es el renglón que más vale.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16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¿En qué parte de tu planeación entra esto?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3 · Lo que decidiste tú</w:t>
      </w:r>
    </w:p>
    <w:p>
      <w:pPr>
        <w:spacing w:after="100"/>
      </w:pPr>
      <w:r>
        <w:drawing>
          <wp:inline distT="0" distB="0" distL="0" distR="0">
            <wp:extent cx="5715000" cy="1152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En La Forja de Proyectos: este mapa es el interés real y la barrera con que arranca el proyecto «El agua que no llega».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4524A"/>
          <w:sz w:val="24"/>
          <w:szCs w:val="24"/>
        </w:rPr>
        <w:t xml:space="preserve">Revisar, descargar y subir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9A6A10" w:val="clear"/>
        </w:rPr>
        <w:t xml:space="preserve">TOCA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Toca «Revisar lo que escribí»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Revisa antes de entregar</w:t>
      </w:r>
    </w:p>
    <w:p>
      <w:pPr>
        <w:spacing w:after="100"/>
      </w:pPr>
      <w:r>
        <w:drawing>
          <wp:inline distT="0" distB="0" distL="0" distR="0">
            <wp:extent cx="5715000" cy="942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Debe decir «Todo en orden». Si marca algo, es un aviso, no una calificación.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9A6A10" w:val="clear"/>
        </w:rPr>
        <w:t xml:space="preserve">TOCA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Toca «Descargar en Word · esto es lo que subes»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4 · Descarga la hoja y súbela a Moodle</w:t>
      </w:r>
    </w:p>
    <w:p>
      <w:pPr>
        <w:spacing w:after="100"/>
      </w:pPr>
      <w:r>
        <w:drawing>
          <wp:inline distT="0" distB="0" distL="0" distR="0">
            <wp:extent cx="5715000" cy="1000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Se guarda en tu carpeta de Descargas como USAER_S01_Apartado-2-7_Mapa-de-barreras-y-apoyos.doc. Ese archivo lo subes en Moodle: abre tu Ruta → Diplomado USAER → Curso 1 → Sesión 1 → «Subir mi hoja».</w:t>
      </w:r>
    </w:p>
    <w:p>
      <w:pPr>
        <w:spacing w:after="200"/>
      </w:pPr>
    </w:p>
    <w:p>
      <w:pPr>
        <w:spacing w:after="80" w:line="276"/>
      </w:pPr>
      <w:r>
        <w:rPr>
          <w:rFonts w:ascii="Calibri" w:cs="Calibri" w:eastAsia="Calibri" w:hAnsi="Calibri"/>
          <w:color w:val="14524A"/>
          <w:sz w:val="21"/>
          <w:szCs w:val="21"/>
        </w:rPr>
        <w:t xml:space="preserve">Al final tienes un solo archivo en Descargas. Lo subes desde tu Ruta: Diplomado USAER → Curso 1 → Sesión 1 → «Subir mi hoja». Y en el foro, un comentario: qué te propuso la IA y no le hiciste caso.</w:t>
      </w:r>
    </w:p>
    <w:p>
      <w:pPr>
        <w:spacing w:after="14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Sin datos de menores · la detección de aptitudes es señal, no diagnóstico · la IA propone, la docente verifica y decide.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b9b9b"/>
        <w:sz w:val="16"/>
        <w:szCs w:val="16"/>
      </w:rPr>
      <w:t xml:space="preserve">Pega conmigo · Mapa de barreras · Diplomado USAER ·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25e1b2d77cbe0469af54356b4463f5a5be9b7f6.jpg"/><Relationship Id="rId9" Type="http://schemas.openxmlformats.org/officeDocument/2006/relationships/image" Target="media/9ade6c9b8eccc0e96393a388185a31d4bbabcfb2.jpg"/><Relationship Id="rId10" Type="http://schemas.openxmlformats.org/officeDocument/2006/relationships/image" Target="media/90e03a17adf7ade0ed6ac86720272d9e5208898f.jpg"/><Relationship Id="rId11" Type="http://schemas.openxmlformats.org/officeDocument/2006/relationships/image" Target="media/a76100ecbea7aed3c36654757e0b228f169a9eb6.jpg"/><Relationship Id="rId12" Type="http://schemas.openxmlformats.org/officeDocument/2006/relationships/image" Target="media/902b4e0455552685c1a2e11d86d5016b45198d1b.jpg"/><Relationship Id="rId13" Type="http://schemas.openxmlformats.org/officeDocument/2006/relationships/image" Target="media/e53417e8410430ef90ec077a26a3b31e7f487e8f.jpg"/><Relationship Id="rId14" Type="http://schemas.openxmlformats.org/officeDocument/2006/relationships/image" Target="media/08d51d7471dd5b6e955f6643de8de9f56911e28a.jpg"/><Relationship Id="rId15" Type="http://schemas.openxmlformats.org/officeDocument/2006/relationships/image" Target="media/3a9ba5828ebe8ef1cda574f94818855658af0a61.jpg"/><Relationship Id="rId16" Type="http://schemas.openxmlformats.org/officeDocument/2006/relationships/image" Target="media/e512e321879c0abd3796fd944965c5fba58a65c7.jpg"/><Relationship Id="rId17" Type="http://schemas.openxmlformats.org/officeDocument/2006/relationships/image" Target="media/33f7d79ab091d8461886468ef4d8e04f96ebd601.jpg"/><Relationship Id="rId18" Type="http://schemas.openxmlformats.org/officeDocument/2006/relationships/image" Target="media/d376588182eeecdcd204a74eee2535ef5a763ab9.jpg"/><Relationship Id="rId19" Type="http://schemas.openxmlformats.org/officeDocument/2006/relationships/image" Target="media/9027297a96604c121abac85568105030df51d77d.jpg"/><Relationship Id="rId20" Type="http://schemas.openxmlformats.org/officeDocument/2006/relationships/image" Target="media/0145640db5a133a4997d92cb2e8444c9340ac92a.jpg"/><Relationship Id="rId21" Type="http://schemas.openxmlformats.org/officeDocument/2006/relationships/image" Target="media/4a6013931161de2c4d839d1a367d2dc36465d5de.jpg"/><Relationship Id="rId22" Type="http://schemas.openxmlformats.org/officeDocument/2006/relationships/image" Target="media/922caba713cd50e95bba9637b39e15a1df15cbfa.jpg"/><Relationship Id="rId23" Type="http://schemas.openxmlformats.org/officeDocument/2006/relationships/image" Target="media/3063732987af82fad7aeb94b0af13bde13f4c963.jpg"/><Relationship Id="rId24" Type="http://schemas.openxmlformats.org/officeDocument/2006/relationships/image" Target="media/ba88f931f91e94b2069e0453f840be47deaacdd6.jpg"/><Relationship Id="rId25" Type="http://schemas.openxmlformats.org/officeDocument/2006/relationships/image" Target="media/0d9d1abaf62920c12ff5e1f77a48209c7ba99160.jpg"/><Relationship Id="rId26" Type="http://schemas.openxmlformats.org/officeDocument/2006/relationships/image" Target="media/4c32e5c75c536875e0432b93a4c7ee28915c8e48.jpg"/><Relationship Id="rId27" Type="http://schemas.openxmlformats.org/officeDocument/2006/relationships/image" Target="media/4a0b5439ac6e220fee7b9c148b200f79def20ef0.jpg"/><Relationship Id="rId28" Type="http://schemas.openxmlformats.org/officeDocument/2006/relationships/image" Target="media/ae87af111c8c13f28782cc5d3283bc2a019c5785.jp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Pega conmigo · Mapa de barreras</dc:title>
  <dc:creator>Citlalic Villegas Luna</dc:creator>
  <cp:lastModifiedBy>Un-named</cp:lastModifiedBy>
  <cp:revision>1</cp:revision>
  <dcterms:created xsi:type="dcterms:W3CDTF">2026-09-04T01:15:35.588Z</dcterms:created>
  <dcterms:modified xsi:type="dcterms:W3CDTF">2026-09-04T01:15:35.590Z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